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合肥公共资源交易管理协会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第一届乒乓球比赛报名表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单位名称：                        填表日期：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570"/>
        <w:gridCol w:w="990"/>
        <w:gridCol w:w="705"/>
        <w:gridCol w:w="2370"/>
        <w:gridCol w:w="3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4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314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44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43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44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43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44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43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44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43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44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43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44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43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gridSpan w:val="2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领队姓名</w:t>
            </w:r>
          </w:p>
        </w:tc>
        <w:tc>
          <w:tcPr>
            <w:tcW w:w="1695" w:type="dxa"/>
            <w:gridSpan w:val="2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143" w:type="dxa"/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  <w:t>请愿意参赛的会员单位接到通知后尽快组织人员，填写报名表，并于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u w:val="none"/>
          <w:lang w:val="en-US" w:eastAsia="zh-CN"/>
        </w:rPr>
        <w:t>9月20日前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  <w:t>将报名表反馈至协会邮箱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u w:val="none"/>
          <w:lang w:val="en-US" w:eastAsia="zh-CN"/>
        </w:rPr>
        <w:t>hefeiztbxh@163.com。</w:t>
      </w:r>
    </w:p>
    <w:p>
      <w:pPr>
        <w:ind w:firstLine="562" w:firstLineChars="200"/>
        <w:jc w:val="both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报名截止日期为9月20日下午五点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  <w:u w:val="none"/>
          <w:lang w:val="en-US" w:eastAsia="zh-CN"/>
        </w:rPr>
        <w:t>。</w:t>
      </w:r>
    </w:p>
    <w:p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  <w:t>联系人：  汪可、汪旭霞</w:t>
      </w:r>
      <w:bookmarkStart w:id="0" w:name="_GoBack"/>
      <w:bookmarkEnd w:id="0"/>
    </w:p>
    <w:p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  <w:t>联系电话：66223820、66223823</w:t>
      </w:r>
    </w:p>
    <w:p>
      <w:pPr>
        <w:ind w:firstLine="560" w:firstLineChars="200"/>
        <w:jc w:val="both"/>
        <w:rPr>
          <w:rFonts w:hint="default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lang w:val="en-US" w:eastAsia="zh-CN"/>
        </w:rPr>
        <w:t>QQ号：   3622402680、360927097</w:t>
      </w:r>
    </w:p>
    <w:p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64496CF8-6306-4B4B-862A-C1AB7BDFDAE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0FC135D-6A93-4C60-8F87-26B0B1462E7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8855654-3B0C-4079-9D03-64D067B2F8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76C6D"/>
    <w:rsid w:val="094E614D"/>
    <w:rsid w:val="14E03A6A"/>
    <w:rsid w:val="2EC76C6D"/>
    <w:rsid w:val="55F72721"/>
    <w:rsid w:val="5B9E280B"/>
    <w:rsid w:val="7E460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2019-08-19T03:24:00Z</dcterms:created>
  <dc:creator>汪小烦</dc:creator>
  <cp:lastModifiedBy>汪小烦</cp:lastModifiedBy>
  <cp:lastPrinted>2019-09-04T02:30:02Z</cp:lastPrinted>
  <dcterms:modified xsi:type="dcterms:W3CDTF">2019-09-04T02:30:07Z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